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97218C" w:rsidRDefault="00CB6853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97218C">
        <w:rPr>
          <w:rFonts w:ascii="Verdana" w:hAnsi="Verdana" w:cs="Arial"/>
          <w:b/>
          <w:sz w:val="20"/>
          <w:szCs w:val="20"/>
        </w:rPr>
        <w:t>Процедура 1975</w:t>
      </w:r>
    </w:p>
    <w:p w:rsidR="00CB6853" w:rsidRPr="00CB6853" w:rsidRDefault="00CB6853" w:rsidP="00CB6853">
      <w:pPr>
        <w:spacing w:before="100" w:beforeAutospacing="1" w:after="100" w:afterAutospacing="1" w:line="240" w:lineRule="auto"/>
        <w:jc w:val="right"/>
        <w:outlineLvl w:val="0"/>
        <w:rPr>
          <w:rFonts w:ascii="Verdana" w:eastAsia="Times New Roman" w:hAnsi="Verdana" w:cs="Times New Roman"/>
          <w:bCs/>
          <w:i/>
          <w:kern w:val="36"/>
          <w:sz w:val="20"/>
          <w:szCs w:val="20"/>
          <w:lang w:eastAsia="bg-BG"/>
        </w:rPr>
      </w:pPr>
      <w:r w:rsidRPr="00CB6853">
        <w:rPr>
          <w:rFonts w:ascii="Verdana" w:eastAsia="Times New Roman" w:hAnsi="Verdana" w:cs="Times New Roman"/>
          <w:bCs/>
          <w:i/>
          <w:kern w:val="36"/>
          <w:sz w:val="20"/>
          <w:szCs w:val="20"/>
          <w:lang w:eastAsia="bg-BG"/>
        </w:rPr>
        <w:t xml:space="preserve">Издаване на заповед за изменения в одобрен инвестиционен проект </w:t>
      </w:r>
    </w:p>
    <w:p w:rsidR="008D6A63" w:rsidRPr="0097218C" w:rsidRDefault="008D6A6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На основание </w:t>
      </w:r>
      <w:r w:rsidR="00931A78" w:rsidRPr="0097218C">
        <w:rPr>
          <w:rFonts w:ascii="Verdana" w:hAnsi="Verdana"/>
          <w:sz w:val="20"/>
          <w:szCs w:val="20"/>
        </w:rPr>
        <w:t>чл. 145, ал. 2, т. 1</w:t>
      </w:r>
      <w:r w:rsidR="006032B7" w:rsidRPr="0097218C">
        <w:rPr>
          <w:rFonts w:ascii="Verdana" w:hAnsi="Verdana"/>
          <w:sz w:val="20"/>
          <w:szCs w:val="20"/>
        </w:rPr>
        <w:t xml:space="preserve"> и </w:t>
      </w:r>
      <w:r w:rsidRPr="0097218C">
        <w:rPr>
          <w:rFonts w:ascii="Verdana" w:hAnsi="Verdana"/>
          <w:sz w:val="20"/>
          <w:szCs w:val="20"/>
        </w:rPr>
        <w:t xml:space="preserve">чл. </w:t>
      </w:r>
      <w:r w:rsidR="00931A78" w:rsidRPr="0097218C">
        <w:rPr>
          <w:rFonts w:ascii="Verdana" w:hAnsi="Verdana"/>
          <w:sz w:val="20"/>
          <w:szCs w:val="20"/>
        </w:rPr>
        <w:t>154, ал. 5</w:t>
      </w:r>
      <w:r w:rsidR="00595379" w:rsidRPr="0097218C">
        <w:rPr>
          <w:rFonts w:ascii="Verdana" w:hAnsi="Verdana"/>
          <w:sz w:val="20"/>
          <w:szCs w:val="20"/>
        </w:rPr>
        <w:t xml:space="preserve"> от Закона за </w:t>
      </w:r>
      <w:r w:rsidR="006032B7" w:rsidRPr="0097218C">
        <w:rPr>
          <w:rFonts w:ascii="Verdana" w:hAnsi="Verdana"/>
          <w:sz w:val="20"/>
          <w:szCs w:val="20"/>
        </w:rPr>
        <w:t xml:space="preserve">устройство на </w:t>
      </w:r>
      <w:r w:rsidR="00931A78" w:rsidRPr="0097218C">
        <w:rPr>
          <w:rFonts w:ascii="Verdana" w:hAnsi="Verdana"/>
          <w:sz w:val="20"/>
          <w:szCs w:val="20"/>
        </w:rPr>
        <w:t>територията (ЗУТ); чл. 28, ал. 8</w:t>
      </w:r>
      <w:r w:rsidR="006032B7" w:rsidRPr="0097218C">
        <w:rPr>
          <w:rFonts w:ascii="Verdana" w:hAnsi="Verdana"/>
          <w:sz w:val="20"/>
          <w:szCs w:val="20"/>
        </w:rPr>
        <w:t xml:space="preserve"> от Тарифа № 14 за таксите, които се събират в системата на Министерството на регионалното развитие и благоустройството и от областните управители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97218C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b/>
          <w:sz w:val="20"/>
          <w:szCs w:val="20"/>
        </w:rPr>
        <w:t>Пряк изпълнител:</w:t>
      </w:r>
      <w:r w:rsidRPr="0097218C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97218C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97218C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7218C">
        <w:rPr>
          <w:rFonts w:ascii="Verdana" w:hAnsi="Verdana"/>
          <w:sz w:val="20"/>
          <w:szCs w:val="20"/>
        </w:rPr>
        <w:t>;</w:t>
      </w:r>
    </w:p>
    <w:p w:rsidR="00F13CE0" w:rsidRPr="0097218C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97218C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97218C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7218C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97218C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7218C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7218C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97218C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97218C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D80D22" w:rsidRPr="0097218C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435CB3" w:rsidRPr="0097218C" w:rsidRDefault="005F7958" w:rsidP="00435CB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>1. Заявление;</w:t>
      </w:r>
    </w:p>
    <w:p w:rsidR="00435CB3" w:rsidRPr="0097218C" w:rsidRDefault="005F7958" w:rsidP="00435CB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>2.</w:t>
      </w:r>
      <w:r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ED7A85"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Проект и мотивирано предложение за изменението; </w:t>
      </w:r>
    </w:p>
    <w:p w:rsidR="00435CB3" w:rsidRPr="0097218C" w:rsidRDefault="00435CB3" w:rsidP="00435CB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ED7A85" w:rsidRPr="00ED7A85">
        <w:rPr>
          <w:rFonts w:ascii="Verdana" w:eastAsia="Times New Roman" w:hAnsi="Verdana" w:cs="Times New Roman"/>
          <w:sz w:val="20"/>
          <w:szCs w:val="20"/>
          <w:lang w:eastAsia="bg-BG"/>
        </w:rPr>
        <w:t>. Документи, съгласно чл. 143 и 144 от ЗУТ;3. Нотариално заверено съгласие на заинтересуван</w:t>
      </w:r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>и лица по чл. 149, ал. 2 от ЗУТ;</w:t>
      </w:r>
    </w:p>
    <w:p w:rsidR="00435CB3" w:rsidRPr="0097218C" w:rsidRDefault="00ED7A85" w:rsidP="00435CB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D7A85">
        <w:rPr>
          <w:rFonts w:ascii="Verdana" w:eastAsia="Times New Roman" w:hAnsi="Verdana" w:cs="Times New Roman"/>
          <w:sz w:val="20"/>
          <w:szCs w:val="20"/>
          <w:lang w:eastAsia="bg-BG"/>
        </w:rPr>
        <w:t>4. Документ за удостоверяване на строителна стойност на обекта;</w:t>
      </w:r>
    </w:p>
    <w:p w:rsidR="00435CB3" w:rsidRPr="0097218C" w:rsidRDefault="00ED7A85" w:rsidP="00435CB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D7A85">
        <w:rPr>
          <w:rFonts w:ascii="Verdana" w:eastAsia="Times New Roman" w:hAnsi="Verdana" w:cs="Times New Roman"/>
          <w:sz w:val="20"/>
          <w:szCs w:val="20"/>
          <w:lang w:eastAsia="bg-BG"/>
        </w:rPr>
        <w:t>5. Одобрен инвестиционен проект;</w:t>
      </w:r>
    </w:p>
    <w:p w:rsidR="00ED7A85" w:rsidRPr="00ED7A85" w:rsidRDefault="00ED7A85" w:rsidP="00435CB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D7A85">
        <w:rPr>
          <w:rFonts w:ascii="Verdana" w:eastAsia="Times New Roman" w:hAnsi="Verdana" w:cs="Times New Roman"/>
          <w:sz w:val="20"/>
          <w:szCs w:val="20"/>
          <w:lang w:eastAsia="bg-BG"/>
        </w:rPr>
        <w:t>6. Документ за платена такса, освен ако плащането не е направено по електронен път.</w:t>
      </w:r>
    </w:p>
    <w:p w:rsidR="00ED7A85" w:rsidRPr="0097218C" w:rsidRDefault="00595379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b/>
          <w:sz w:val="20"/>
          <w:szCs w:val="20"/>
        </w:rPr>
        <w:t>Пояснения:</w:t>
      </w:r>
      <w:r w:rsidR="00D80D22" w:rsidRPr="0097218C">
        <w:rPr>
          <w:rFonts w:ascii="Verdana" w:hAnsi="Verdana"/>
          <w:sz w:val="20"/>
          <w:szCs w:val="20"/>
        </w:rPr>
        <w:t xml:space="preserve"> </w:t>
      </w:r>
      <w:r w:rsidR="0066148F" w:rsidRPr="0097218C">
        <w:rPr>
          <w:rFonts w:ascii="Verdana" w:hAnsi="Verdana"/>
          <w:sz w:val="20"/>
          <w:szCs w:val="20"/>
        </w:rPr>
        <w:t>Оц</w:t>
      </w:r>
      <w:r w:rsidR="00ED7A85" w:rsidRPr="0097218C">
        <w:rPr>
          <w:rFonts w:ascii="Verdana" w:hAnsi="Verdana"/>
          <w:sz w:val="20"/>
          <w:szCs w:val="20"/>
        </w:rPr>
        <w:t>енката за съответствие на инвестиционния проект се извършва с приемане от областния експертен съвет по устройство на територията или като комплексен доклад, съставен от рег</w:t>
      </w:r>
      <w:bookmarkStart w:id="0" w:name="_GoBack"/>
      <w:bookmarkEnd w:id="0"/>
      <w:r w:rsidR="00ED7A85" w:rsidRPr="0097218C">
        <w:rPr>
          <w:rFonts w:ascii="Verdana" w:hAnsi="Verdana"/>
          <w:sz w:val="20"/>
          <w:szCs w:val="20"/>
        </w:rPr>
        <w:t>истрирана фирма-консултант, несвързана с проектанта (задължителен за обекти от първа и втора категория). Всички части на одобрения инвестиционен проект се подписват и подпечатват от Областен управител. Одобреният инвестиционен проект губи правно действие, ако в срок една година от одобряването не е поискано разрешение за строеж.</w:t>
      </w:r>
    </w:p>
    <w:p w:rsidR="00595379" w:rsidRPr="0097218C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97218C">
        <w:rPr>
          <w:rFonts w:ascii="Verdana" w:hAnsi="Verdana"/>
          <w:sz w:val="20"/>
          <w:szCs w:val="20"/>
        </w:rPr>
        <w:t xml:space="preserve"> </w:t>
      </w:r>
      <w:r w:rsidR="0066148F" w:rsidRPr="0097218C">
        <w:rPr>
          <w:rFonts w:ascii="Verdana" w:hAnsi="Verdana"/>
          <w:sz w:val="20"/>
          <w:szCs w:val="20"/>
        </w:rPr>
        <w:t xml:space="preserve">14 дни или </w:t>
      </w:r>
      <w:r w:rsidR="00D80D22" w:rsidRPr="0097218C">
        <w:rPr>
          <w:rFonts w:ascii="Verdana" w:hAnsi="Verdana"/>
          <w:sz w:val="20"/>
          <w:szCs w:val="20"/>
        </w:rPr>
        <w:t>1 месец, съгласно чл. 1</w:t>
      </w:r>
      <w:r w:rsidR="0066148F" w:rsidRPr="0097218C">
        <w:rPr>
          <w:rFonts w:ascii="Verdana" w:hAnsi="Verdana"/>
          <w:sz w:val="20"/>
          <w:szCs w:val="20"/>
        </w:rPr>
        <w:t>44, ал. 3</w:t>
      </w:r>
      <w:r w:rsidR="00D80D22" w:rsidRPr="0097218C">
        <w:rPr>
          <w:rFonts w:ascii="Verdana" w:hAnsi="Verdana"/>
          <w:sz w:val="20"/>
          <w:szCs w:val="20"/>
        </w:rPr>
        <w:t xml:space="preserve"> от ЗУТ.</w:t>
      </w:r>
    </w:p>
    <w:p w:rsidR="00595379" w:rsidRPr="0097218C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6. Образци на формуляри, които са свързани с предоставянето на </w:t>
      </w: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97218C" w:rsidRDefault="0097218C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97218C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97218C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97218C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97218C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97218C">
        <w:rPr>
          <w:rFonts w:ascii="Verdana" w:hAnsi="Verdana"/>
          <w:sz w:val="20"/>
          <w:szCs w:val="20"/>
        </w:rPr>
        <w:t xml:space="preserve">.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97218C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- </w:t>
      </w:r>
      <w:r w:rsidR="00F13CE0" w:rsidRPr="0097218C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97218C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- </w:t>
      </w:r>
      <w:r w:rsidR="00F13CE0" w:rsidRPr="0097218C">
        <w:rPr>
          <w:rFonts w:ascii="Verdana" w:hAnsi="Verdana"/>
          <w:sz w:val="20"/>
          <w:szCs w:val="20"/>
        </w:rPr>
        <w:t xml:space="preserve">Със </w:t>
      </w:r>
      <w:r w:rsidRPr="0097218C">
        <w:rPr>
          <w:rFonts w:ascii="Verdana" w:hAnsi="Verdana"/>
          <w:sz w:val="20"/>
          <w:szCs w:val="20"/>
        </w:rPr>
        <w:t>заявление по пощата/ли</w:t>
      </w:r>
      <w:r w:rsidR="00F13CE0" w:rsidRPr="0097218C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97218C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97218C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97218C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7218C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97218C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- Със заявление</w:t>
      </w:r>
      <w:r w:rsidR="00F81B6B" w:rsidRPr="0097218C">
        <w:rPr>
          <w:rFonts w:ascii="Verdana" w:hAnsi="Verdana"/>
          <w:sz w:val="20"/>
          <w:szCs w:val="20"/>
        </w:rPr>
        <w:t>,</w:t>
      </w:r>
      <w:r w:rsidRPr="0097218C">
        <w:rPr>
          <w:rFonts w:ascii="Verdana" w:hAnsi="Verdana"/>
          <w:sz w:val="20"/>
          <w:szCs w:val="20"/>
        </w:rPr>
        <w:t xml:space="preserve"> </w:t>
      </w:r>
      <w:r w:rsidR="00F81B6B" w:rsidRPr="0097218C">
        <w:rPr>
          <w:rFonts w:ascii="Verdana" w:hAnsi="Verdana"/>
          <w:sz w:val="20"/>
          <w:szCs w:val="20"/>
        </w:rPr>
        <w:t xml:space="preserve">подписано с КЕП, </w:t>
      </w:r>
      <w:r w:rsidRPr="0097218C">
        <w:rPr>
          <w:rFonts w:ascii="Verdana" w:hAnsi="Verdana"/>
          <w:sz w:val="20"/>
          <w:szCs w:val="20"/>
        </w:rPr>
        <w:t>по електронна поща;</w:t>
      </w:r>
    </w:p>
    <w:p w:rsidR="00C53A9F" w:rsidRPr="0097218C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97218C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97218C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97218C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hAnsi="Verdana"/>
          <w:sz w:val="20"/>
          <w:szCs w:val="20"/>
        </w:rPr>
        <w:t xml:space="preserve">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97218C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97218C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97218C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97218C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97218C">
        <w:rPr>
          <w:rFonts w:ascii="Verdana" w:hAnsi="Verdana"/>
          <w:sz w:val="20"/>
          <w:szCs w:val="20"/>
        </w:rPr>
        <w:t xml:space="preserve"> </w:t>
      </w:r>
      <w:r w:rsidR="00790C62" w:rsidRPr="0097218C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97218C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97218C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97218C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97218C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97218C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9C6B94" w:rsidRPr="0097218C">
        <w:rPr>
          <w:rFonts w:ascii="Verdana" w:hAnsi="Verdana"/>
          <w:sz w:val="20"/>
          <w:szCs w:val="20"/>
        </w:rPr>
        <w:t>1 година</w:t>
      </w:r>
      <w:r w:rsidR="00DC6E6D"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085A5D" w:rsidRPr="0097218C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С</w:t>
      </w:r>
      <w:r w:rsidR="00085A5D" w:rsidRPr="0097218C">
        <w:rPr>
          <w:rFonts w:ascii="Verdana" w:hAnsi="Verdana"/>
          <w:sz w:val="20"/>
          <w:szCs w:val="20"/>
        </w:rPr>
        <w:t>тойността на таксата се определя по реда на чл. 28, ал. 8 от Тарифа № 14 за таксите, които се събират в системата на МРРБ и от областните управители и е в размер 50 на сто от таксата по чл. 28, ал. 4, 5 или 6 от Тарифа № 14.</w:t>
      </w:r>
    </w:p>
    <w:p w:rsidR="00085A5D" w:rsidRPr="0097218C" w:rsidRDefault="00085A5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С</w:t>
      </w:r>
      <w:r w:rsidRPr="0097218C">
        <w:rPr>
          <w:rFonts w:ascii="Verdana" w:hAnsi="Verdana"/>
          <w:sz w:val="20"/>
          <w:szCs w:val="20"/>
        </w:rPr>
        <w:t>тойността на таксата за извършване на оценка на съответствието по чл. 142, ал. 6, т. 1 от ЗУТ се определя по реда на чл. 28, ал. 2 от Тарифа № 14 за таксите, които се събират в системата на МРРБ и от областните управители и е в размер 0,1 на сто от строителната стойност на обекта, но не по-малко от 500 и не повече от 3000 лв</w:t>
      </w:r>
      <w:r w:rsidRPr="0097218C">
        <w:rPr>
          <w:rFonts w:ascii="Verdana" w:hAnsi="Verdana"/>
          <w:sz w:val="20"/>
          <w:szCs w:val="20"/>
        </w:rPr>
        <w:t>.</w:t>
      </w:r>
    </w:p>
    <w:p w:rsidR="00F64285" w:rsidRPr="0097218C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 банков път на сметка:</w:t>
      </w:r>
    </w:p>
    <w:p w:rsidR="00F64285" w:rsidRPr="0097218C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Pr="0097218C">
        <w:rPr>
          <w:rStyle w:val="a4"/>
          <w:rFonts w:ascii="Verdana" w:hAnsi="Verdana"/>
          <w:b w:val="0"/>
          <w:sz w:val="20"/>
          <w:szCs w:val="20"/>
        </w:rPr>
        <w:t xml:space="preserve">при банка ПИБ АД – клон Търговище. </w:t>
      </w:r>
    </w:p>
    <w:p w:rsidR="00A24A7B" w:rsidRPr="0097218C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97218C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</w:t>
      </w: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предоставянето на услугата. </w:t>
      </w:r>
    </w:p>
    <w:p w:rsidR="00DD3BD5" w:rsidRPr="0097218C" w:rsidRDefault="00C17091" w:rsidP="00435CB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О</w:t>
      </w:r>
      <w:r w:rsidR="00CA6508" w:rsidRPr="0097218C">
        <w:rPr>
          <w:rFonts w:ascii="Verdana" w:hAnsi="Verdana"/>
          <w:sz w:val="20"/>
          <w:szCs w:val="20"/>
        </w:rPr>
        <w:t>тказ</w:t>
      </w:r>
      <w:r w:rsidR="00435CB3" w:rsidRPr="0097218C">
        <w:rPr>
          <w:rFonts w:ascii="Verdana" w:hAnsi="Verdana"/>
          <w:sz w:val="20"/>
          <w:szCs w:val="20"/>
        </w:rPr>
        <w:t xml:space="preserve"> </w:t>
      </w:r>
      <w:r w:rsidR="00435CB3" w:rsidRPr="0097218C">
        <w:rPr>
          <w:rFonts w:ascii="Verdana" w:hAnsi="Verdana"/>
          <w:sz w:val="20"/>
          <w:szCs w:val="20"/>
        </w:rPr>
        <w:t>да се одобри инвестиционен проект се прави само по законосъобразност, като се посочват конкретните мотиви за това. Отказът може да бъде обжалван пред началника на регионалната дирекция за национален строителен контрол в 14-дневен срок от съобщението му, съгласно чл. 146 ЗУТ</w:t>
      </w:r>
      <w:r w:rsidR="00435CB3" w:rsidRPr="0097218C">
        <w:rPr>
          <w:rFonts w:ascii="Verdana" w:hAnsi="Verdana"/>
          <w:sz w:val="20"/>
          <w:szCs w:val="20"/>
        </w:rPr>
        <w:t>.</w:t>
      </w:r>
    </w:p>
    <w:p w:rsidR="00DC6E6D" w:rsidRPr="0097218C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7218C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97218C" w:rsidRDefault="0097218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97218C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97218C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97218C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97218C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97218C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97218C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97218C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97218C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97218C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97218C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97218C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97218C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97218C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97218C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7218C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721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97218C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97218C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7218C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97218C" w:rsidRDefault="0097218C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9" w:history="1">
        <w:r w:rsidR="00F13CE0" w:rsidRPr="0097218C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97218C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85A5D"/>
    <w:rsid w:val="001F1F28"/>
    <w:rsid w:val="001F2F92"/>
    <w:rsid w:val="002F55EC"/>
    <w:rsid w:val="00327D83"/>
    <w:rsid w:val="004263C2"/>
    <w:rsid w:val="004320FF"/>
    <w:rsid w:val="00435CB3"/>
    <w:rsid w:val="004D3288"/>
    <w:rsid w:val="004E5795"/>
    <w:rsid w:val="005029ED"/>
    <w:rsid w:val="00516219"/>
    <w:rsid w:val="00595379"/>
    <w:rsid w:val="005F7958"/>
    <w:rsid w:val="006032B7"/>
    <w:rsid w:val="006306B4"/>
    <w:rsid w:val="0066148F"/>
    <w:rsid w:val="006D2A95"/>
    <w:rsid w:val="00790C62"/>
    <w:rsid w:val="008A09EC"/>
    <w:rsid w:val="008D6A63"/>
    <w:rsid w:val="00922EEF"/>
    <w:rsid w:val="00931A78"/>
    <w:rsid w:val="0097218C"/>
    <w:rsid w:val="009C6B94"/>
    <w:rsid w:val="00A24A7B"/>
    <w:rsid w:val="00A70608"/>
    <w:rsid w:val="00B94419"/>
    <w:rsid w:val="00C17091"/>
    <w:rsid w:val="00C53A9F"/>
    <w:rsid w:val="00CA08F7"/>
    <w:rsid w:val="00CA6508"/>
    <w:rsid w:val="00CB6853"/>
    <w:rsid w:val="00D67378"/>
    <w:rsid w:val="00D76CCF"/>
    <w:rsid w:val="00D80D22"/>
    <w:rsid w:val="00DC6E6D"/>
    <w:rsid w:val="00DD3BD5"/>
    <w:rsid w:val="00E3076C"/>
    <w:rsid w:val="00E80C60"/>
    <w:rsid w:val="00ED7A85"/>
    <w:rsid w:val="00F05918"/>
    <w:rsid w:val="00F13CE0"/>
    <w:rsid w:val="00F64285"/>
    <w:rsid w:val="00F81B6B"/>
    <w:rsid w:val="00FB0BDF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64</cp:revision>
  <cp:lastPrinted>2020-08-03T11:44:00Z</cp:lastPrinted>
  <dcterms:created xsi:type="dcterms:W3CDTF">2020-08-03T10:48:00Z</dcterms:created>
  <dcterms:modified xsi:type="dcterms:W3CDTF">2020-08-18T07:33:00Z</dcterms:modified>
</cp:coreProperties>
</file>