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C178CD" w:rsidRDefault="00445D27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П4</w:t>
      </w:r>
      <w:r w:rsidR="00872F23" w:rsidRPr="00C178CD">
        <w:rPr>
          <w:rFonts w:ascii="Verdana" w:hAnsi="Verdana" w:cs="Arial"/>
          <w:b/>
          <w:bCs/>
          <w:sz w:val="20"/>
          <w:szCs w:val="20"/>
        </w:rPr>
        <w:t>.</w:t>
      </w:r>
    </w:p>
    <w:p w:rsidR="00DF0DCE" w:rsidRPr="00445D27" w:rsidRDefault="00445D27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Style w:val="a4"/>
          <w:rFonts w:ascii="Verdana" w:hAnsi="Verdana"/>
          <w:b w:val="0"/>
          <w:i/>
          <w:sz w:val="20"/>
          <w:szCs w:val="20"/>
        </w:rPr>
      </w:pPr>
      <w:r w:rsidRPr="00445D27">
        <w:rPr>
          <w:rStyle w:val="a4"/>
          <w:rFonts w:ascii="Verdana" w:hAnsi="Verdana"/>
          <w:b w:val="0"/>
          <w:i/>
          <w:sz w:val="20"/>
          <w:szCs w:val="20"/>
        </w:rPr>
        <w:t xml:space="preserve">Отписване на имоти в стопанските дворове и </w:t>
      </w:r>
      <w:proofErr w:type="spellStart"/>
      <w:r w:rsidRPr="00445D27">
        <w:rPr>
          <w:rStyle w:val="a4"/>
          <w:rFonts w:ascii="Verdana" w:hAnsi="Verdana"/>
          <w:b w:val="0"/>
          <w:i/>
          <w:sz w:val="20"/>
          <w:szCs w:val="20"/>
        </w:rPr>
        <w:t>парцеларните</w:t>
      </w:r>
      <w:proofErr w:type="spellEnd"/>
      <w:r w:rsidRPr="00445D27">
        <w:rPr>
          <w:rStyle w:val="a4"/>
          <w:rFonts w:ascii="Verdana" w:hAnsi="Verdana"/>
          <w:b w:val="0"/>
          <w:i/>
          <w:sz w:val="20"/>
          <w:szCs w:val="20"/>
        </w:rPr>
        <w:t xml:space="preserve"> планове</w:t>
      </w:r>
      <w:r w:rsidRPr="00445D27">
        <w:rPr>
          <w:rFonts w:ascii="Verdana" w:hAnsi="Verdana"/>
          <w:b/>
          <w:i/>
          <w:sz w:val="20"/>
          <w:szCs w:val="20"/>
        </w:rPr>
        <w:t xml:space="preserve"> </w:t>
      </w:r>
    </w:p>
    <w:p w:rsidR="00445D27" w:rsidRPr="00DF0DCE" w:rsidRDefault="00445D27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950501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На основание чл. </w:t>
      </w:r>
      <w:proofErr w:type="gramStart"/>
      <w:r w:rsidR="00950501" w:rsidRPr="00950501">
        <w:rPr>
          <w:rFonts w:ascii="Verdana" w:hAnsi="Verdana"/>
          <w:sz w:val="20"/>
          <w:szCs w:val="20"/>
          <w:lang w:val="en-US"/>
        </w:rPr>
        <w:t>7</w:t>
      </w:r>
      <w:r w:rsidR="00950501" w:rsidRPr="00950501">
        <w:rPr>
          <w:rFonts w:ascii="Verdana" w:hAnsi="Verdana"/>
          <w:sz w:val="20"/>
          <w:szCs w:val="20"/>
        </w:rPr>
        <w:t>8</w:t>
      </w:r>
      <w:r w:rsidRPr="00950501">
        <w:rPr>
          <w:rFonts w:ascii="Verdana" w:hAnsi="Verdana"/>
          <w:sz w:val="20"/>
          <w:szCs w:val="20"/>
        </w:rPr>
        <w:t>, ал.</w:t>
      </w:r>
      <w:proofErr w:type="gramEnd"/>
      <w:r w:rsidR="00950501" w:rsidRPr="00950501">
        <w:rPr>
          <w:rFonts w:ascii="Verdana" w:hAnsi="Verdana"/>
          <w:sz w:val="20"/>
          <w:szCs w:val="20"/>
        </w:rPr>
        <w:t xml:space="preserve"> 1 от Закона за държавната собственост.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445D27" w:rsidRDefault="00872F23" w:rsidP="00445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445D27" w:rsidRPr="00445D27" w:rsidRDefault="00445D27" w:rsidP="00445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45D27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на имота</w:t>
      </w:r>
      <w:r w:rsidRPr="00445D27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 xml:space="preserve"> </w:t>
      </w:r>
      <w:r w:rsidRPr="00445D27">
        <w:rPr>
          <w:rFonts w:ascii="Verdana" w:eastAsia="Times New Roman" w:hAnsi="Verdana" w:cs="Arial"/>
          <w:bCs/>
          <w:sz w:val="20"/>
          <w:szCs w:val="20"/>
          <w:lang w:eastAsia="bg-BG"/>
        </w:rPr>
        <w:t>от Общинска служба по Земеделие за имоти извън регулация или от техническа служба при общината за имоти в регулация /оригинал/, от СГКК – за населените места с кадастрална карта;</w:t>
      </w:r>
    </w:p>
    <w:p w:rsidR="00445D27" w:rsidRPr="00445D27" w:rsidRDefault="00445D27" w:rsidP="00445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45D27">
        <w:rPr>
          <w:rFonts w:ascii="Verdana" w:eastAsia="Times New Roman" w:hAnsi="Verdana" w:cs="Arial"/>
          <w:bCs/>
          <w:sz w:val="20"/>
          <w:szCs w:val="20"/>
          <w:lang w:eastAsia="bg-BG"/>
        </w:rPr>
        <w:t>Удостоверение за идентичност по предходните планове от съответната служба Териториално селищно Устройство или Общинска служба Земеделие, ако АДС е по стари планове;</w:t>
      </w:r>
    </w:p>
    <w:p w:rsidR="00445D27" w:rsidRPr="00445D27" w:rsidRDefault="00890B65" w:rsidP="00445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  <w:lang w:eastAsia="bg-BG"/>
        </w:rPr>
        <w:t>Договор за покупко-</w:t>
      </w:r>
      <w:r w:rsidR="00445D27" w:rsidRPr="00445D27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продажба /замяна - заверено копие; </w:t>
      </w:r>
    </w:p>
    <w:p w:rsidR="00445D27" w:rsidRPr="00890B65" w:rsidRDefault="00445D27" w:rsidP="00445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445D27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Копие </w:t>
      </w:r>
      <w:r w:rsidR="00890B65">
        <w:rPr>
          <w:rFonts w:ascii="Verdana" w:eastAsia="Times New Roman" w:hAnsi="Verdana" w:cs="Arial"/>
          <w:bCs/>
          <w:sz w:val="20"/>
          <w:szCs w:val="20"/>
          <w:lang w:eastAsia="bg-BG"/>
        </w:rPr>
        <w:t>от акта за държавна собственост.</w:t>
      </w:r>
      <w:bookmarkStart w:id="0" w:name="_GoBack"/>
      <w:bookmarkEnd w:id="0"/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890B65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90B65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890B65" w:rsidP="00872F23">
      <w:pPr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2556A4"/>
    <w:rsid w:val="00445D27"/>
    <w:rsid w:val="0080563E"/>
    <w:rsid w:val="00872F23"/>
    <w:rsid w:val="00890B65"/>
    <w:rsid w:val="00950501"/>
    <w:rsid w:val="00A3655B"/>
    <w:rsid w:val="00C178CD"/>
    <w:rsid w:val="00DE17E2"/>
    <w:rsid w:val="00DF0DCE"/>
    <w:rsid w:val="00ED7894"/>
    <w:rsid w:val="00E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13</cp:revision>
  <dcterms:created xsi:type="dcterms:W3CDTF">2020-07-20T09:33:00Z</dcterms:created>
  <dcterms:modified xsi:type="dcterms:W3CDTF">2020-07-20T10:37:00Z</dcterms:modified>
</cp:coreProperties>
</file>